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CA" w:rsidRPr="005764CA" w:rsidRDefault="005764CA" w:rsidP="005764CA">
      <w:pPr>
        <w:spacing w:line="576" w:lineRule="exact"/>
        <w:rPr>
          <w:rFonts w:ascii="黑体" w:eastAsia="黑体" w:hAnsi="黑体" w:cs="LinTimes" w:hint="eastAsia"/>
          <w:color w:val="000000"/>
          <w:kern w:val="0"/>
          <w:sz w:val="32"/>
          <w:szCs w:val="32"/>
          <w:lang/>
        </w:rPr>
      </w:pPr>
      <w:r w:rsidRPr="005764CA">
        <w:rPr>
          <w:rFonts w:ascii="黑体" w:eastAsia="黑体" w:hAnsi="黑体" w:cs="LinTimes" w:hint="eastAsia"/>
          <w:color w:val="000000"/>
          <w:kern w:val="0"/>
          <w:sz w:val="32"/>
          <w:szCs w:val="32"/>
          <w:lang/>
        </w:rPr>
        <w:t>附件1</w:t>
      </w:r>
    </w:p>
    <w:p w:rsidR="005764CA" w:rsidRPr="005764CA" w:rsidRDefault="005764CA" w:rsidP="005764CA">
      <w:pPr>
        <w:spacing w:line="576" w:lineRule="exact"/>
        <w:jc w:val="center"/>
        <w:rPr>
          <w:rFonts w:ascii="方正小标宋简体" w:eastAsia="方正小标宋简体" w:hAnsi="LinTimes" w:cs="LinTimes" w:hint="eastAsia"/>
          <w:color w:val="000000"/>
          <w:sz w:val="44"/>
          <w:szCs w:val="44"/>
        </w:rPr>
      </w:pPr>
    </w:p>
    <w:p w:rsidR="005764CA" w:rsidRPr="005764CA" w:rsidRDefault="005764CA" w:rsidP="005764CA">
      <w:pPr>
        <w:spacing w:line="576" w:lineRule="exact"/>
        <w:jc w:val="center"/>
        <w:rPr>
          <w:rFonts w:ascii="方正小标宋简体" w:eastAsia="方正小标宋简体" w:hAnsi="LinTimes" w:cs="LinTimes" w:hint="eastAsia"/>
          <w:color w:val="000000"/>
          <w:sz w:val="44"/>
          <w:szCs w:val="44"/>
        </w:rPr>
      </w:pPr>
      <w:r w:rsidRPr="005764CA">
        <w:rPr>
          <w:rFonts w:ascii="方正小标宋简体" w:eastAsia="方正小标宋简体" w:hAnsi="LinTimes" w:cs="LinTimes" w:hint="eastAsia"/>
          <w:color w:val="000000"/>
          <w:sz w:val="44"/>
          <w:szCs w:val="44"/>
        </w:rPr>
        <w:t>城市居住区配套建设养老服务设施实施细则</w:t>
      </w:r>
    </w:p>
    <w:p w:rsidR="005764CA" w:rsidRPr="005764CA" w:rsidRDefault="005764CA" w:rsidP="005764CA">
      <w:pPr>
        <w:spacing w:line="576" w:lineRule="exact"/>
        <w:ind w:firstLineChars="200" w:firstLine="634"/>
        <w:jc w:val="center"/>
        <w:rPr>
          <w:rFonts w:ascii="仿宋_GB2312" w:eastAsia="仿宋_GB2312" w:hAnsi="LinTimes" w:cs="LinTimes" w:hint="eastAsia"/>
          <w:color w:val="000000"/>
          <w:sz w:val="32"/>
          <w:szCs w:val="32"/>
        </w:rPr>
      </w:pPr>
    </w:p>
    <w:p w:rsidR="005764CA" w:rsidRPr="005764CA" w:rsidRDefault="005764CA" w:rsidP="00B46A6C">
      <w:pPr>
        <w:numPr>
          <w:ilvl w:val="0"/>
          <w:numId w:val="1"/>
        </w:numPr>
        <w:spacing w:line="576" w:lineRule="exact"/>
        <w:ind w:left="0" w:firstLineChars="200" w:firstLine="634"/>
        <w:jc w:val="center"/>
        <w:outlineLvl w:val="1"/>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总则</w:t>
      </w:r>
    </w:p>
    <w:p w:rsidR="005764CA" w:rsidRPr="005764CA" w:rsidRDefault="005764CA" w:rsidP="005764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200" w:firstLine="634"/>
        <w:jc w:val="left"/>
        <w:rPr>
          <w:rFonts w:ascii="仿宋_GB2312" w:eastAsia="仿宋_GB2312" w:hAnsi="仿宋" w:cs="LinTimes"/>
          <w:color w:val="000000"/>
          <w:kern w:val="0"/>
          <w:sz w:val="32"/>
          <w:szCs w:val="32"/>
        </w:rPr>
      </w:pPr>
      <w:r w:rsidRPr="005764CA">
        <w:rPr>
          <w:rFonts w:ascii="楷体_GB2312" w:eastAsia="楷体_GB2312" w:hAnsi="黑体" w:cs="LinTimes"/>
          <w:color w:val="000000"/>
          <w:kern w:val="0"/>
          <w:sz w:val="32"/>
          <w:szCs w:val="32"/>
        </w:rPr>
        <w:t xml:space="preserve">第一条 </w:t>
      </w:r>
      <w:r w:rsidRPr="005764CA">
        <w:rPr>
          <w:rFonts w:ascii="仿宋_GB2312" w:eastAsia="仿宋_GB2312" w:hAnsi="STHeiti" w:cs="STHeiti"/>
          <w:color w:val="000000"/>
          <w:kern w:val="0"/>
          <w:sz w:val="32"/>
          <w:szCs w:val="32"/>
          <w:shd w:val="clear" w:color="auto" w:fill="FFFFFF"/>
        </w:rPr>
        <w:t>为规范新建</w:t>
      </w:r>
      <w:r w:rsidRPr="005764CA">
        <w:rPr>
          <w:rFonts w:ascii="仿宋_GB2312" w:eastAsia="仿宋_GB2312" w:hAnsi="仿宋" w:cs="LinTimes"/>
          <w:color w:val="000000"/>
          <w:kern w:val="0"/>
          <w:sz w:val="32"/>
          <w:szCs w:val="32"/>
        </w:rPr>
        <w:t>居住（小）区</w:t>
      </w:r>
      <w:r w:rsidRPr="005764CA">
        <w:rPr>
          <w:rFonts w:ascii="仿宋_GB2312" w:eastAsia="仿宋_GB2312" w:hAnsi="STHeiti" w:cs="STHeiti"/>
          <w:color w:val="000000"/>
          <w:kern w:val="0"/>
          <w:sz w:val="32"/>
          <w:szCs w:val="32"/>
          <w:shd w:val="clear" w:color="auto" w:fill="FFFFFF"/>
        </w:rPr>
        <w:t>和</w:t>
      </w:r>
      <w:r w:rsidRPr="005764CA">
        <w:rPr>
          <w:rFonts w:ascii="仿宋_GB2312" w:eastAsia="仿宋_GB2312" w:hAnsi="仿宋" w:cs="LinTimes"/>
          <w:color w:val="000000"/>
          <w:kern w:val="0"/>
          <w:sz w:val="32"/>
          <w:szCs w:val="32"/>
        </w:rPr>
        <w:t>已建成居住（小）区</w:t>
      </w:r>
      <w:r w:rsidRPr="005764CA">
        <w:rPr>
          <w:rFonts w:ascii="仿宋_GB2312" w:eastAsia="仿宋_GB2312" w:hAnsi="STHeiti" w:cs="STHeiti"/>
          <w:color w:val="000000"/>
          <w:kern w:val="0"/>
          <w:sz w:val="32"/>
          <w:szCs w:val="32"/>
          <w:shd w:val="clear" w:color="auto" w:fill="FFFFFF"/>
        </w:rPr>
        <w:t>养老服务设施配套建设工作，</w:t>
      </w:r>
      <w:r w:rsidRPr="005764CA">
        <w:rPr>
          <w:rFonts w:ascii="仿宋_GB2312" w:eastAsia="仿宋_GB2312" w:hAnsi="仿宋" w:cs="LinTimes"/>
          <w:color w:val="000000"/>
          <w:kern w:val="0"/>
          <w:sz w:val="32"/>
          <w:szCs w:val="32"/>
        </w:rPr>
        <w:t>根据中央和省委、省政府关于配套养老服务设施的决策部署，按照《中共安徽省委 安徽省人民政府关于印发〈安徽省加强新时代老龄工作实施方案〉的通知》《中共安徽省委办公厅 安徽省人民政府办公厅关于印发〈安徽省促进养老托育服务健康发展实施方案〉的通知》要求，制定本实施细则。</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第二条 </w:t>
      </w:r>
      <w:r w:rsidRPr="005764CA">
        <w:rPr>
          <w:rFonts w:ascii="仿宋_GB2312" w:eastAsia="仿宋_GB2312" w:hAnsi="仿宋" w:cs="LinTimes" w:hint="eastAsia"/>
          <w:color w:val="000000"/>
          <w:sz w:val="32"/>
          <w:szCs w:val="32"/>
        </w:rPr>
        <w:t>本实施细则适用于安徽省行政区域内城市居住（小）区配套养老服务设施的规划、建设、验收、交付等工作。</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第三条 </w:t>
      </w:r>
      <w:r w:rsidRPr="005764CA">
        <w:rPr>
          <w:rFonts w:ascii="仿宋_GB2312" w:eastAsia="仿宋_GB2312" w:hAnsi="仿宋" w:cs="LinTimes" w:hint="eastAsia"/>
          <w:color w:val="000000"/>
          <w:sz w:val="32"/>
          <w:szCs w:val="32"/>
        </w:rPr>
        <w:t>本实施细则所称的养老服务设施是指为社区养老、居家养老的老年人提供餐饮服务、个人护理、保健康复、文化娱乐等功能的日托及上门照护等服务的场所。包括老年人日间照料中心、养老服务（指导）中心（站）等。</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第四条 </w:t>
      </w:r>
      <w:r w:rsidRPr="005764CA">
        <w:rPr>
          <w:rFonts w:ascii="仿宋_GB2312" w:eastAsia="仿宋_GB2312" w:hAnsi="仿宋" w:cs="LinTimes" w:hint="eastAsia"/>
          <w:color w:val="000000"/>
          <w:sz w:val="32"/>
          <w:szCs w:val="32"/>
        </w:rPr>
        <w:t>新建居住（小）区按照每百户不得低于30平方米、单体面积不得低于350平方米的标准配套建设养老服务设施，已建成居住（小）区按照每百户不得低于20平方米标准配置养老服务设施。</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第五条 </w:t>
      </w:r>
      <w:r w:rsidRPr="005764CA">
        <w:rPr>
          <w:rFonts w:ascii="仿宋_GB2312" w:eastAsia="仿宋_GB2312" w:hAnsi="仿宋" w:cs="LinTimes" w:hint="eastAsia"/>
          <w:color w:val="000000"/>
          <w:sz w:val="32"/>
          <w:szCs w:val="32"/>
        </w:rPr>
        <w:t>占地面积较小的住宅小区，可统筹多个小区规划配建养老服务设施。统筹配建时，应当结合小区密度、人口数量与分</w:t>
      </w:r>
      <w:r w:rsidRPr="005764CA">
        <w:rPr>
          <w:rFonts w:ascii="仿宋_GB2312" w:eastAsia="仿宋_GB2312" w:hAnsi="仿宋" w:cs="LinTimes" w:hint="eastAsia"/>
          <w:color w:val="000000"/>
          <w:sz w:val="32"/>
          <w:szCs w:val="32"/>
        </w:rPr>
        <w:lastRenderedPageBreak/>
        <w:t>布状况等因素，按照“5分钟社区生活圈”进行统筹规划配建。</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第六条 </w:t>
      </w:r>
      <w:r w:rsidRPr="005764CA">
        <w:rPr>
          <w:rFonts w:ascii="仿宋_GB2312" w:eastAsia="仿宋_GB2312" w:hAnsi="仿宋" w:cs="LinTimes" w:hint="eastAsia"/>
          <w:color w:val="000000"/>
          <w:sz w:val="32"/>
          <w:szCs w:val="32"/>
        </w:rPr>
        <w:t>老城区和已建成居住（小）区，养老服务设施不足的，可通过补建、购置、置换、租赁、改造等方式予以解决，或在相邻新建项目内予以补足。</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p>
    <w:p w:rsidR="005764CA" w:rsidRPr="005764CA" w:rsidRDefault="005764CA" w:rsidP="00B46A6C">
      <w:pPr>
        <w:numPr>
          <w:ilvl w:val="0"/>
          <w:numId w:val="1"/>
        </w:numPr>
        <w:spacing w:line="576" w:lineRule="exact"/>
        <w:ind w:left="0" w:firstLineChars="200" w:firstLine="634"/>
        <w:jc w:val="center"/>
        <w:outlineLvl w:val="1"/>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同步规划</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第七条 </w:t>
      </w:r>
      <w:r w:rsidRPr="005764CA">
        <w:rPr>
          <w:rFonts w:ascii="仿宋_GB2312" w:eastAsia="仿宋_GB2312" w:hAnsi="仿宋" w:cs="LinTimes" w:hint="eastAsia"/>
          <w:color w:val="000000"/>
          <w:sz w:val="32"/>
          <w:szCs w:val="32"/>
        </w:rPr>
        <w:t>市、县民政部门应当依据国土空间总体规划要求，按照国家、省有关标准规范规定，遵循“统筹规划、均衡布局、分级设置”的原则，组织编制养老服务设施专项规划，合理设置养老服务设施。</w:t>
      </w:r>
      <w:r w:rsidRPr="005764CA">
        <w:rPr>
          <w:rFonts w:ascii="仿宋_GB2312" w:eastAsia="仿宋_GB2312" w:hAnsi="CESI仿宋-GB2312" w:cs="CESI仿宋-GB2312" w:hint="eastAsia"/>
          <w:kern w:val="0"/>
          <w:sz w:val="32"/>
          <w:szCs w:val="32"/>
          <w:lang/>
        </w:rPr>
        <w:t>发展改革部门负责将依法批准的专项规划主要内容纳入国民经济和社会发展规划。</w:t>
      </w:r>
      <w:r w:rsidRPr="005764CA">
        <w:rPr>
          <w:rFonts w:ascii="仿宋_GB2312" w:eastAsia="仿宋_GB2312" w:hAnsi="仿宋" w:cs="LinTimes" w:hint="eastAsia"/>
          <w:color w:val="000000"/>
          <w:sz w:val="32"/>
          <w:szCs w:val="32"/>
        </w:rPr>
        <w:t>自然资源部门负责将依法批准的专项规划纳入同级国土空间基础信息平台，叠加到国土空间规划“一张图”上（数据格式与国土空间规划“一张图”保持一致)，其主要内容纳入到详细规划中。（</w:t>
      </w:r>
      <w:r w:rsidRPr="005764CA">
        <w:rPr>
          <w:rFonts w:ascii="仿宋_GB2312" w:eastAsia="仿宋_GB2312" w:hAnsi="黑体" w:cs="LinTimes" w:hint="eastAsia"/>
          <w:color w:val="000000"/>
          <w:sz w:val="32"/>
          <w:szCs w:val="32"/>
        </w:rPr>
        <w:t>民政、发展改革、自然资源部门按职责分工负责</w:t>
      </w:r>
      <w:r w:rsidRPr="005764CA">
        <w:rPr>
          <w:rFonts w:ascii="仿宋_GB2312" w:eastAsia="仿宋_GB2312" w:hAnsi="仿宋" w:cs="LinTimes" w:hint="eastAsia"/>
          <w:color w:val="000000"/>
          <w:sz w:val="32"/>
          <w:szCs w:val="32"/>
        </w:rPr>
        <w:t>）</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第八条 </w:t>
      </w:r>
      <w:r w:rsidRPr="005764CA">
        <w:rPr>
          <w:rFonts w:ascii="仿宋_GB2312" w:eastAsia="仿宋_GB2312" w:hAnsi="仿宋" w:cs="LinTimes" w:hint="eastAsia"/>
          <w:color w:val="000000"/>
          <w:sz w:val="32"/>
          <w:szCs w:val="32"/>
        </w:rPr>
        <w:t>新建居住（小）区项目土地使用权出让前，自然资源部门应当通知同级民政部门，就养老服务设施的面积、建设标准、移交方式等提出建设条件意见，由自然资源部门纳入土地出让方案、土地出让公告，并在《国有建设用地使用权出让合同》中明确。</w:t>
      </w:r>
      <w:r w:rsidRPr="005764CA">
        <w:rPr>
          <w:rFonts w:ascii="仿宋_GB2312" w:eastAsia="仿宋_GB2312" w:hAnsi="黑体" w:cs="LinTimes" w:hint="eastAsia"/>
          <w:color w:val="000000"/>
          <w:sz w:val="32"/>
          <w:szCs w:val="32"/>
        </w:rPr>
        <w:t>（自然资源、民政部门按职责分工负责）</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第九条 </w:t>
      </w:r>
      <w:r w:rsidRPr="005764CA">
        <w:rPr>
          <w:rFonts w:ascii="仿宋_GB2312" w:eastAsia="仿宋_GB2312" w:hAnsi="仿宋" w:cs="LinTimes" w:hint="eastAsia"/>
          <w:color w:val="000000"/>
          <w:sz w:val="32"/>
          <w:szCs w:val="32"/>
        </w:rPr>
        <w:t>国有建设用地使用权竞得人签订《国有建设用地使用权出让合同》时，应当同时与县级民政部门签订新建居住（小）区项目养老服务设施移交协议，明确建设内容、建设标准、</w:t>
      </w:r>
      <w:proofErr w:type="gramStart"/>
      <w:r w:rsidRPr="005764CA">
        <w:rPr>
          <w:rFonts w:ascii="仿宋_GB2312" w:eastAsia="仿宋_GB2312" w:hAnsi="仿宋" w:cs="LinTimes" w:hint="eastAsia"/>
          <w:color w:val="000000"/>
          <w:sz w:val="32"/>
          <w:szCs w:val="32"/>
        </w:rPr>
        <w:t>开(竣</w:t>
      </w:r>
      <w:proofErr w:type="gramEnd"/>
      <w:r w:rsidRPr="005764CA">
        <w:rPr>
          <w:rFonts w:ascii="仿宋_GB2312" w:eastAsia="仿宋_GB2312" w:hAnsi="仿宋" w:cs="LinTimes" w:hint="eastAsia"/>
          <w:color w:val="000000"/>
          <w:sz w:val="32"/>
          <w:szCs w:val="32"/>
        </w:rPr>
        <w:t>)</w:t>
      </w:r>
      <w:r w:rsidRPr="005764CA">
        <w:rPr>
          <w:rFonts w:ascii="仿宋_GB2312" w:eastAsia="仿宋_GB2312" w:hAnsi="仿宋" w:cs="LinTimes" w:hint="eastAsia"/>
          <w:color w:val="000000"/>
          <w:sz w:val="32"/>
          <w:szCs w:val="32"/>
        </w:rPr>
        <w:lastRenderedPageBreak/>
        <w:t>工期限、移交方式、违约责任等内容。</w:t>
      </w:r>
      <w:r w:rsidRPr="005764CA">
        <w:rPr>
          <w:rFonts w:ascii="仿宋_GB2312" w:eastAsia="仿宋_GB2312" w:hAnsi="黑体" w:cs="LinTimes" w:hint="eastAsia"/>
          <w:color w:val="000000"/>
          <w:sz w:val="32"/>
          <w:szCs w:val="32"/>
        </w:rPr>
        <w:t>（自然资源、民政部门按职责分工负责）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 xml:space="preserve">第十条 </w:t>
      </w:r>
      <w:r w:rsidRPr="005764CA">
        <w:rPr>
          <w:rFonts w:ascii="仿宋_GB2312" w:eastAsia="仿宋_GB2312" w:hAnsi="仿宋" w:cs="LinTimes" w:hint="eastAsia"/>
          <w:color w:val="000000"/>
          <w:sz w:val="32"/>
          <w:szCs w:val="32"/>
        </w:rPr>
        <w:t>社区养老服务设施宜与基本公共服务设施统筹规划，相对集中设置，方便使用。应当安排在建筑低层部分，有独立的出入口，二层及以上的应当设置无障碍电梯或者无障碍坡道；不得配置在地下层、半地下层、夹层、架空层、顶楼、阁楼、车库，不得分散配置。单独选址的，应当选择位置适中、方便老年人及居民进出、便于服务区域内老年人的地段。</w:t>
      </w:r>
      <w:r w:rsidRPr="005764CA">
        <w:rPr>
          <w:rFonts w:ascii="仿宋_GB2312" w:eastAsia="仿宋_GB2312" w:hAnsi="黑体" w:cs="LinTimes" w:hint="eastAsia"/>
          <w:color w:val="000000"/>
          <w:sz w:val="32"/>
          <w:szCs w:val="32"/>
        </w:rPr>
        <w:t>（民政、自然资源部门按职责分工负责）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 xml:space="preserve">第十一条 </w:t>
      </w:r>
      <w:r w:rsidRPr="005764CA">
        <w:rPr>
          <w:rFonts w:ascii="仿宋_GB2312" w:eastAsia="仿宋_GB2312" w:hAnsi="仿宋" w:cs="LinTimes" w:hint="eastAsia"/>
          <w:color w:val="000000"/>
          <w:sz w:val="32"/>
          <w:szCs w:val="32"/>
        </w:rPr>
        <w:t>开发建设单位编制新建居住（小）区项目修建性详细规划、建设工程设计方案时，应当同步落实规划条件中养老服务设施的要求。自然资源部门审定新建居住（小）区项目修建性详细规划、审查建设工程设计方案时，应当核实规划设计的养老服务设施是否符合规划条件，并通知民政部门参与审查。</w:t>
      </w:r>
      <w:r w:rsidRPr="005764CA">
        <w:rPr>
          <w:rFonts w:ascii="仿宋_GB2312" w:eastAsia="仿宋_GB2312" w:hAnsi="CESI仿宋-GB2312" w:cs="CESI仿宋-GB2312" w:hint="eastAsia"/>
          <w:kern w:val="0"/>
          <w:sz w:val="32"/>
          <w:szCs w:val="32"/>
          <w:lang/>
        </w:rPr>
        <w:t>因特殊情况需要在新建居住（小）</w:t>
      </w:r>
      <w:r w:rsidRPr="005764CA">
        <w:rPr>
          <w:rFonts w:ascii="仿宋_GB2312" w:eastAsia="仿宋_GB2312" w:hAnsi="仿宋" w:cs="LinTimes" w:hint="eastAsia"/>
          <w:sz w:val="32"/>
          <w:szCs w:val="32"/>
        </w:rPr>
        <w:t>区</w:t>
      </w:r>
      <w:r w:rsidRPr="005764CA">
        <w:rPr>
          <w:rFonts w:ascii="仿宋_GB2312" w:eastAsia="仿宋_GB2312" w:hAnsi="CESI仿宋-GB2312" w:cs="CESI仿宋-GB2312" w:hint="eastAsia"/>
          <w:kern w:val="0"/>
          <w:sz w:val="32"/>
          <w:szCs w:val="32"/>
          <w:lang/>
        </w:rPr>
        <w:t>修建性详细规划、建设工程设计方案中调整配建养老服务设施的，自然资源部门应当通知民政部门参与变更审查，并依法履行方案变更程序。未经审查同意，开发建设单位不得变更。</w:t>
      </w:r>
      <w:r w:rsidRPr="005764CA">
        <w:rPr>
          <w:rFonts w:ascii="仿宋_GB2312" w:eastAsia="仿宋_GB2312" w:hAnsi="黑体" w:cs="LinTimes" w:hint="eastAsia"/>
          <w:color w:val="000000"/>
          <w:sz w:val="32"/>
          <w:szCs w:val="32"/>
        </w:rPr>
        <w:t>（自然资源、民政部门按职责分工负责）</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p>
    <w:p w:rsidR="005764CA" w:rsidRPr="005764CA" w:rsidRDefault="005764CA" w:rsidP="00B46A6C">
      <w:pPr>
        <w:numPr>
          <w:ilvl w:val="0"/>
          <w:numId w:val="1"/>
        </w:numPr>
        <w:spacing w:line="576" w:lineRule="exact"/>
        <w:ind w:left="0" w:firstLineChars="200" w:firstLine="634"/>
        <w:jc w:val="center"/>
        <w:outlineLvl w:val="1"/>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同步建设</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第十二条 </w:t>
      </w:r>
      <w:r w:rsidRPr="005764CA">
        <w:rPr>
          <w:rFonts w:ascii="仿宋_GB2312" w:eastAsia="仿宋_GB2312" w:hAnsi="仿宋" w:cs="LinTimes" w:hint="eastAsia"/>
          <w:color w:val="000000"/>
          <w:sz w:val="32"/>
          <w:szCs w:val="32"/>
        </w:rPr>
        <w:t>居住（小）区配套建设养老服务设施，应当按照《老年人照料设施建筑设计标准》JGJ 450-2018、《建筑设计防火规范》GB 50016-2014（2018年版）、</w:t>
      </w:r>
      <w:r w:rsidRPr="005764CA">
        <w:rPr>
          <w:rFonts w:ascii="仿宋_GB2312" w:eastAsia="仿宋_GB2312" w:hAnsi="方正仿宋_GBK" w:cs="方正仿宋_GBK" w:hint="eastAsia"/>
          <w:sz w:val="32"/>
          <w:szCs w:val="32"/>
        </w:rPr>
        <w:t>《城</w:t>
      </w:r>
      <w:r w:rsidRPr="005764CA">
        <w:rPr>
          <w:rFonts w:ascii="仿宋_GB2312" w:eastAsia="仿宋_GB2312" w:hAnsi="仿宋" w:cs="LinTimes" w:hint="eastAsia"/>
          <w:sz w:val="32"/>
          <w:szCs w:val="32"/>
        </w:rPr>
        <w:t xml:space="preserve">市居住区规划设计标准》GB </w:t>
      </w:r>
      <w:r w:rsidRPr="005764CA">
        <w:rPr>
          <w:rFonts w:ascii="仿宋_GB2312" w:eastAsia="仿宋_GB2312" w:hAnsi="仿宋" w:cs="LinTimes" w:hint="eastAsia"/>
          <w:sz w:val="32"/>
          <w:szCs w:val="32"/>
        </w:rPr>
        <w:lastRenderedPageBreak/>
        <w:t>50180-2018、</w:t>
      </w:r>
      <w:r w:rsidRPr="005764CA">
        <w:rPr>
          <w:rFonts w:ascii="仿宋_GB2312" w:eastAsia="仿宋_GB2312" w:hAnsi="仿宋" w:cs="LinTimes" w:hint="eastAsia"/>
          <w:color w:val="000000"/>
          <w:sz w:val="32"/>
          <w:szCs w:val="32"/>
        </w:rPr>
        <w:t>《建筑与市政工程无障碍通用规范》GB 55019-2021、《社区老年人日间照料中心建设标准》建标143-2010、《养老服务设施规划建设标准》DB34/T 3943-2021等标准规范要求进行设计。</w:t>
      </w:r>
      <w:r w:rsidRPr="005764CA">
        <w:rPr>
          <w:rFonts w:ascii="仿宋_GB2312" w:eastAsia="仿宋_GB2312" w:hAnsi="黑体" w:cs="LinTimes" w:hint="eastAsia"/>
          <w:color w:val="000000"/>
          <w:sz w:val="32"/>
          <w:szCs w:val="32"/>
        </w:rPr>
        <w:t>（住房城乡建设、民政部门按职责分工负责）</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第十三条 </w:t>
      </w:r>
      <w:r w:rsidRPr="005764CA">
        <w:rPr>
          <w:rFonts w:ascii="仿宋_GB2312" w:eastAsia="仿宋_GB2312" w:hAnsi="仿宋" w:cs="LinTimes" w:hint="eastAsia"/>
          <w:color w:val="000000"/>
          <w:sz w:val="32"/>
          <w:szCs w:val="32"/>
        </w:rPr>
        <w:t>将新建居住（小）区配套建设养老服务设施施工图设计文件纳入施工图审查范围，未经审查或审查不合格的不得使用。总建筑面积大于一千平方米的养老服务设施，建设单位应当将消防设计文件报送住房城乡建设部门审查。</w:t>
      </w:r>
      <w:r w:rsidRPr="005764CA">
        <w:rPr>
          <w:rFonts w:ascii="仿宋_GB2312" w:eastAsia="仿宋_GB2312" w:hAnsi="黑体" w:cs="LinTimes" w:hint="eastAsia"/>
          <w:color w:val="000000"/>
          <w:sz w:val="32"/>
          <w:szCs w:val="32"/>
        </w:rPr>
        <w:t>（住房城乡建设部门负责）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 xml:space="preserve">第十四条 </w:t>
      </w:r>
      <w:r w:rsidRPr="005764CA">
        <w:rPr>
          <w:rFonts w:ascii="仿宋_GB2312" w:eastAsia="仿宋_GB2312" w:hAnsi="仿宋" w:cs="LinTimes" w:hint="eastAsia"/>
          <w:color w:val="000000"/>
          <w:sz w:val="32"/>
          <w:szCs w:val="32"/>
        </w:rPr>
        <w:t>开发建设单位应当按照审查合格的施工图设计文件和相关施工技术标准规范组织施工，确保养老服务设施达到简单装修、入住即可使用的标准，墙体四白落地，平整水泥地面，门窗和厕所完善，水、电、气、暖设施齐全、达到使用条件，符合无障碍设施要求。对分期开发的新建居住（小）区项目，养老服务设施</w:t>
      </w:r>
      <w:proofErr w:type="gramStart"/>
      <w:r w:rsidRPr="005764CA">
        <w:rPr>
          <w:rFonts w:ascii="仿宋_GB2312" w:eastAsia="仿宋_GB2312" w:hAnsi="仿宋" w:cs="LinTimes" w:hint="eastAsia"/>
          <w:color w:val="000000"/>
          <w:sz w:val="32"/>
          <w:szCs w:val="32"/>
        </w:rPr>
        <w:t>宜安排</w:t>
      </w:r>
      <w:proofErr w:type="gramEnd"/>
      <w:r w:rsidRPr="005764CA">
        <w:rPr>
          <w:rFonts w:ascii="仿宋_GB2312" w:eastAsia="仿宋_GB2312" w:hAnsi="仿宋" w:cs="LinTimes" w:hint="eastAsia"/>
          <w:color w:val="000000"/>
          <w:sz w:val="32"/>
          <w:szCs w:val="32"/>
        </w:rPr>
        <w:t>在首期进行建设，且不得拆分。</w:t>
      </w:r>
      <w:r w:rsidRPr="005764CA">
        <w:rPr>
          <w:rFonts w:ascii="仿宋_GB2312" w:eastAsia="仿宋_GB2312" w:hAnsi="黑体" w:cs="LinTimes" w:hint="eastAsia"/>
          <w:color w:val="000000"/>
          <w:sz w:val="32"/>
          <w:szCs w:val="32"/>
        </w:rPr>
        <w:t>（住房城乡建设、自然资源部门按职责分工负责）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 xml:space="preserve">第十五条 </w:t>
      </w:r>
      <w:r w:rsidRPr="005764CA">
        <w:rPr>
          <w:rFonts w:ascii="仿宋_GB2312" w:eastAsia="仿宋_GB2312" w:hAnsi="仿宋" w:cs="LinTimes" w:hint="eastAsia"/>
          <w:color w:val="000000"/>
          <w:sz w:val="32"/>
          <w:szCs w:val="32"/>
        </w:rPr>
        <w:t>实施城市更新、棚户区改造、城镇老旧小区改造等项目中，统筹推进养老服务设施建设，补齐居住（小）区养老服务设施短板。</w:t>
      </w:r>
      <w:r w:rsidRPr="005764CA">
        <w:rPr>
          <w:rFonts w:ascii="仿宋_GB2312" w:eastAsia="仿宋_GB2312" w:hAnsi="黑体" w:cs="LinTimes" w:hint="eastAsia"/>
          <w:color w:val="000000"/>
          <w:sz w:val="32"/>
          <w:szCs w:val="32"/>
        </w:rPr>
        <w:t>（住房城乡建设、民政、自然资源部门按职责分工负责）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 xml:space="preserve">第十六条 </w:t>
      </w:r>
      <w:r w:rsidRPr="005764CA">
        <w:rPr>
          <w:rFonts w:ascii="仿宋_GB2312" w:eastAsia="仿宋_GB2312" w:hAnsi="仿宋" w:cs="LinTimes" w:hint="eastAsia"/>
          <w:color w:val="000000"/>
          <w:sz w:val="32"/>
          <w:szCs w:val="32"/>
        </w:rPr>
        <w:t>利用现有空闲的厂房、酒店、学校、商业用房、社区用房等改造为居住（小）区养老服务设施的，可通过民政部门向县级人民政府申请“一事一议”，或建立常态化联审制度，综合</w:t>
      </w:r>
      <w:r w:rsidRPr="005764CA">
        <w:rPr>
          <w:rFonts w:ascii="仿宋_GB2312" w:eastAsia="仿宋_GB2312" w:hAnsi="仿宋" w:cs="LinTimes" w:hint="eastAsia"/>
          <w:color w:val="000000"/>
          <w:sz w:val="32"/>
          <w:szCs w:val="32"/>
        </w:rPr>
        <w:lastRenderedPageBreak/>
        <w:t>民政、自然资源、住房城乡建设、消防救援机构以及设施所在乡镇（街道）等各方意见，</w:t>
      </w:r>
      <w:proofErr w:type="gramStart"/>
      <w:r w:rsidRPr="005764CA">
        <w:rPr>
          <w:rFonts w:ascii="仿宋_GB2312" w:eastAsia="仿宋_GB2312" w:hAnsi="仿宋" w:cs="LinTimes" w:hint="eastAsia"/>
          <w:color w:val="000000"/>
          <w:sz w:val="32"/>
          <w:szCs w:val="32"/>
        </w:rPr>
        <w:t>作出</w:t>
      </w:r>
      <w:proofErr w:type="gramEnd"/>
      <w:r w:rsidRPr="005764CA">
        <w:rPr>
          <w:rFonts w:ascii="仿宋_GB2312" w:eastAsia="仿宋_GB2312" w:hAnsi="仿宋" w:cs="LinTimes" w:hint="eastAsia"/>
          <w:color w:val="000000"/>
          <w:sz w:val="32"/>
          <w:szCs w:val="32"/>
        </w:rPr>
        <w:t>决策。</w:t>
      </w:r>
      <w:r w:rsidRPr="005764CA">
        <w:rPr>
          <w:rFonts w:ascii="仿宋_GB2312" w:eastAsia="仿宋_GB2312" w:hAnsi="黑体" w:cs="LinTimes" w:hint="eastAsia"/>
          <w:color w:val="000000"/>
          <w:sz w:val="32"/>
          <w:szCs w:val="32"/>
        </w:rPr>
        <w:t>（民政部门负责）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p>
    <w:p w:rsidR="005764CA" w:rsidRPr="005764CA" w:rsidRDefault="005764CA" w:rsidP="00B46A6C">
      <w:pPr>
        <w:numPr>
          <w:ilvl w:val="0"/>
          <w:numId w:val="1"/>
        </w:numPr>
        <w:spacing w:line="576" w:lineRule="exact"/>
        <w:ind w:left="0" w:firstLineChars="200" w:firstLine="634"/>
        <w:jc w:val="center"/>
        <w:outlineLvl w:val="1"/>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同步验收</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color w:val="000000"/>
          <w:kern w:val="0"/>
          <w:sz w:val="32"/>
          <w:szCs w:val="32"/>
          <w:lang/>
        </w:rPr>
      </w:pPr>
      <w:r w:rsidRPr="005764CA">
        <w:rPr>
          <w:rFonts w:ascii="楷体_GB2312" w:eastAsia="楷体_GB2312" w:hAnsi="黑体" w:cs="LinTimes" w:hint="eastAsia"/>
          <w:color w:val="000000"/>
          <w:kern w:val="0"/>
          <w:sz w:val="32"/>
          <w:szCs w:val="32"/>
        </w:rPr>
        <w:t xml:space="preserve">第十七条 </w:t>
      </w:r>
      <w:r w:rsidRPr="005764CA">
        <w:rPr>
          <w:rFonts w:ascii="仿宋_GB2312" w:eastAsia="仿宋_GB2312" w:hAnsi="仿宋" w:cs="LinTimes" w:hint="eastAsia"/>
          <w:color w:val="000000"/>
          <w:kern w:val="0"/>
          <w:sz w:val="32"/>
          <w:szCs w:val="32"/>
        </w:rPr>
        <w:t>住宅小区配套建设养老服务设施，应与住宅小区整体同步验收，验收不合格的，不得交付使用。</w:t>
      </w:r>
      <w:r w:rsidRPr="005764CA">
        <w:rPr>
          <w:rFonts w:ascii="仿宋_GB2312" w:eastAsia="仿宋_GB2312" w:hAnsi="黑体" w:cs="LinTimes" w:hint="eastAsia"/>
          <w:color w:val="000000"/>
          <w:kern w:val="0"/>
          <w:sz w:val="32"/>
          <w:szCs w:val="32"/>
        </w:rPr>
        <w:t>（住房城乡建设、自然资源、民政部门按职责分工负责）</w:t>
      </w:r>
    </w:p>
    <w:p w:rsidR="005764CA" w:rsidRPr="005764CA" w:rsidRDefault="005764CA" w:rsidP="005764CA">
      <w:pPr>
        <w:widowControl/>
        <w:spacing w:line="576" w:lineRule="exact"/>
        <w:ind w:firstLineChars="200" w:firstLine="634"/>
        <w:jc w:val="left"/>
        <w:rPr>
          <w:rFonts w:ascii="仿宋_GB2312" w:eastAsia="仿宋_GB2312" w:hAnsi="CESI仿宋-GB2312" w:cs="CESI仿宋-GB2312" w:hint="eastAsia"/>
          <w:color w:val="000000"/>
          <w:kern w:val="0"/>
          <w:sz w:val="32"/>
          <w:szCs w:val="32"/>
          <w:lang/>
        </w:rPr>
      </w:pPr>
      <w:r w:rsidRPr="005764CA">
        <w:rPr>
          <w:rFonts w:ascii="楷体_GB2312" w:eastAsia="楷体_GB2312" w:hAnsi="黑体" w:cs="LinTimes" w:hint="eastAsia"/>
          <w:color w:val="000000"/>
          <w:kern w:val="0"/>
          <w:sz w:val="32"/>
          <w:szCs w:val="32"/>
        </w:rPr>
        <w:t>第十八条</w:t>
      </w:r>
      <w:r w:rsidRPr="005764CA">
        <w:rPr>
          <w:rFonts w:ascii="仿宋_GB2312" w:eastAsia="仿宋_GB2312" w:hAnsi="黑体" w:cs="LinTimes" w:hint="eastAsia"/>
          <w:color w:val="000000"/>
          <w:sz w:val="32"/>
          <w:szCs w:val="32"/>
        </w:rPr>
        <w:t xml:space="preserve"> </w:t>
      </w:r>
      <w:r w:rsidRPr="005764CA">
        <w:rPr>
          <w:rFonts w:ascii="仿宋_GB2312" w:eastAsia="仿宋_GB2312" w:hAnsi="CESI仿宋-GB2312" w:cs="CESI仿宋-GB2312" w:hint="eastAsia"/>
          <w:color w:val="000000"/>
          <w:kern w:val="0"/>
          <w:sz w:val="32"/>
          <w:szCs w:val="32"/>
        </w:rPr>
        <w:t>自然资源、民政部门应当对</w:t>
      </w:r>
      <w:r w:rsidRPr="005764CA">
        <w:rPr>
          <w:rFonts w:ascii="仿宋_GB2312" w:eastAsia="仿宋_GB2312" w:hAnsi="CESI仿宋-GB2312" w:cs="CESI仿宋-GB2312" w:hint="eastAsia"/>
          <w:color w:val="000000"/>
          <w:kern w:val="0"/>
          <w:sz w:val="32"/>
          <w:szCs w:val="32"/>
          <w:lang/>
        </w:rPr>
        <w:t>养老</w:t>
      </w:r>
      <w:r w:rsidRPr="005764CA">
        <w:rPr>
          <w:rFonts w:ascii="仿宋_GB2312" w:eastAsia="仿宋_GB2312" w:hAnsi="CESI仿宋-GB2312" w:cs="CESI仿宋-GB2312" w:hint="eastAsia"/>
          <w:color w:val="000000"/>
          <w:kern w:val="0"/>
          <w:sz w:val="32"/>
          <w:szCs w:val="32"/>
        </w:rPr>
        <w:t>服务设施建设是否符合规划设计进行核实。未经规划核实或者经核实不符合规划设计的，不予核发建设工程竣工规划核实认可文件。</w:t>
      </w:r>
      <w:r w:rsidRPr="005764CA">
        <w:rPr>
          <w:rFonts w:ascii="仿宋_GB2312" w:eastAsia="仿宋_GB2312" w:hAnsi="黑体" w:cs="LinTimes" w:hint="eastAsia"/>
          <w:color w:val="000000"/>
          <w:kern w:val="0"/>
          <w:sz w:val="32"/>
          <w:szCs w:val="32"/>
        </w:rPr>
        <w:t>（自然资源、民政部门按职责分工负责）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 xml:space="preserve">第十九条 </w:t>
      </w:r>
      <w:r w:rsidRPr="005764CA">
        <w:rPr>
          <w:rFonts w:ascii="仿宋_GB2312" w:eastAsia="仿宋_GB2312" w:hAnsi="仿宋" w:cs="LinTimes" w:hint="eastAsia"/>
          <w:color w:val="000000"/>
          <w:sz w:val="32"/>
          <w:szCs w:val="32"/>
        </w:rPr>
        <w:t>竣工验收阶段，民政部门参与养老服务设施的竣工验收，对建设项目是否按照要求配建养老服务设施进行把关，对未按照要求配建的新建住宅小区项目，不予通过验收。住房城乡建设部门应当依法对养老服务设施进行消防验收、备案与抽查，总建筑面积大于一千平方米的养老服务设施，未经消防验收或消防验收不合格的，禁止投入使用。</w:t>
      </w:r>
      <w:r w:rsidRPr="005764CA">
        <w:rPr>
          <w:rFonts w:ascii="仿宋_GB2312" w:eastAsia="仿宋_GB2312" w:hAnsi="黑体" w:cs="LinTimes" w:hint="eastAsia"/>
          <w:color w:val="000000"/>
          <w:sz w:val="32"/>
          <w:szCs w:val="32"/>
        </w:rPr>
        <w:t>（住房城乡建设、民政部门按职责分工负责）</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lang/>
        </w:rPr>
      </w:pPr>
    </w:p>
    <w:p w:rsidR="005764CA" w:rsidRPr="005764CA" w:rsidRDefault="005764CA" w:rsidP="00B46A6C">
      <w:pPr>
        <w:numPr>
          <w:ilvl w:val="0"/>
          <w:numId w:val="1"/>
        </w:numPr>
        <w:spacing w:line="576" w:lineRule="exact"/>
        <w:ind w:left="0" w:firstLineChars="200" w:firstLine="634"/>
        <w:jc w:val="center"/>
        <w:outlineLvl w:val="1"/>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同步交付</w:t>
      </w:r>
    </w:p>
    <w:p w:rsidR="005764CA" w:rsidRPr="005764CA" w:rsidRDefault="005764CA" w:rsidP="005764CA">
      <w:pPr>
        <w:spacing w:line="576" w:lineRule="exact"/>
        <w:ind w:firstLineChars="200" w:firstLine="634"/>
        <w:rPr>
          <w:rFonts w:ascii="仿宋_GB2312" w:eastAsia="仿宋_GB2312" w:hAnsi="仿宋" w:cs="LinTimes" w:hint="eastAsia"/>
          <w:color w:val="000000"/>
          <w:sz w:val="32"/>
          <w:szCs w:val="32"/>
        </w:rPr>
      </w:pPr>
      <w:r w:rsidRPr="005764CA">
        <w:rPr>
          <w:rFonts w:ascii="楷体_GB2312" w:eastAsia="楷体_GB2312" w:hAnsi="黑体" w:cs="LinTimes" w:hint="eastAsia"/>
          <w:color w:val="000000"/>
          <w:kern w:val="0"/>
          <w:sz w:val="32"/>
          <w:szCs w:val="32"/>
        </w:rPr>
        <w:t xml:space="preserve">第二十条 </w:t>
      </w:r>
      <w:r w:rsidRPr="005764CA">
        <w:rPr>
          <w:rFonts w:ascii="仿宋_GB2312" w:eastAsia="仿宋_GB2312" w:hAnsi="仿宋" w:cs="LinTimes" w:hint="eastAsia"/>
          <w:color w:val="000000"/>
          <w:sz w:val="32"/>
          <w:szCs w:val="32"/>
        </w:rPr>
        <w:t>居住（小）区配套建设养老服务设施作为公共服务配套用房，由开发建设单位在竣工验收3个月内将配套建设养老服务设施和有关建设资料移交当地县(市、区）民政部</w:t>
      </w:r>
      <w:proofErr w:type="gramStart"/>
      <w:r w:rsidRPr="005764CA">
        <w:rPr>
          <w:rFonts w:ascii="仿宋_GB2312" w:eastAsia="仿宋_GB2312" w:hAnsi="仿宋" w:cs="LinTimes" w:hint="eastAsia"/>
          <w:color w:val="000000"/>
          <w:sz w:val="32"/>
          <w:szCs w:val="32"/>
        </w:rPr>
        <w:t>门用于</w:t>
      </w:r>
      <w:proofErr w:type="gramEnd"/>
      <w:r w:rsidRPr="005764CA">
        <w:rPr>
          <w:rFonts w:ascii="仿宋_GB2312" w:eastAsia="仿宋_GB2312" w:hAnsi="仿宋" w:cs="LinTimes" w:hint="eastAsia"/>
          <w:color w:val="000000"/>
          <w:sz w:val="32"/>
          <w:szCs w:val="32"/>
        </w:rPr>
        <w:t>养老</w:t>
      </w:r>
      <w:r w:rsidRPr="005764CA">
        <w:rPr>
          <w:rFonts w:ascii="仿宋_GB2312" w:eastAsia="仿宋_GB2312" w:hAnsi="仿宋" w:cs="LinTimes" w:hint="eastAsia"/>
          <w:color w:val="000000"/>
          <w:sz w:val="32"/>
          <w:szCs w:val="32"/>
        </w:rPr>
        <w:lastRenderedPageBreak/>
        <w:t>服务。开发建设单位在申请办理房屋所有权首次登记后，应按照移交协议与当地民政部门共同申请养老服务设施不动产转移登记。不动产测绘机构在建筑面积预测、实测时，要按照规划批准文件对养老服务设施设置不动产单元，并在测绘成果报告中注明其位置（幢、单元、层次等）和面积。不得将养老服务设施计入公摊用的公共建筑面积。</w:t>
      </w:r>
      <w:r w:rsidRPr="005764CA">
        <w:rPr>
          <w:rFonts w:ascii="仿宋_GB2312" w:eastAsia="仿宋_GB2312" w:hAnsi="黑体" w:cs="LinTimes" w:hint="eastAsia"/>
          <w:color w:val="000000"/>
          <w:sz w:val="32"/>
          <w:szCs w:val="32"/>
        </w:rPr>
        <w:t>（民政、自然资源、住房城乡建设部门按职责分工负责）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第二十一条</w:t>
      </w:r>
      <w:r w:rsidRPr="005764CA">
        <w:rPr>
          <w:rFonts w:ascii="仿宋_GB2312" w:eastAsia="仿宋_GB2312" w:hAnsi="黑体" w:cs="LinTimes" w:hint="eastAsia"/>
          <w:color w:val="000000"/>
          <w:sz w:val="32"/>
          <w:szCs w:val="32"/>
        </w:rPr>
        <w:t xml:space="preserve"> </w:t>
      </w:r>
      <w:r w:rsidRPr="005764CA">
        <w:rPr>
          <w:rFonts w:ascii="仿宋_GB2312" w:eastAsia="仿宋_GB2312" w:hAnsi="仿宋" w:cs="LinTimes" w:hint="eastAsia"/>
          <w:color w:val="000000"/>
          <w:sz w:val="32"/>
          <w:szCs w:val="32"/>
        </w:rPr>
        <w:t>新建住宅小区项目验收合格后，开发建设单位应按《国有建设用地使用权出让合同》《项目监管协议》约定，向项目所在地民政部门办理移交手续，签订《社区养老服务设施用房移交协议书》，并按规定完成移交手续，与民政部门签订《社区养老服务设施用房移交确认书》。（</w:t>
      </w:r>
      <w:r w:rsidRPr="005764CA">
        <w:rPr>
          <w:rFonts w:ascii="仿宋_GB2312" w:eastAsia="仿宋_GB2312" w:hAnsi="黑体" w:cs="LinTimes" w:hint="eastAsia"/>
          <w:color w:val="000000"/>
          <w:sz w:val="32"/>
          <w:szCs w:val="32"/>
        </w:rPr>
        <w:t>民政、自然资源部门按职责分工负责</w:t>
      </w:r>
      <w:r w:rsidRPr="005764CA">
        <w:rPr>
          <w:rFonts w:ascii="仿宋_GB2312" w:eastAsia="仿宋_GB2312" w:hAnsi="仿宋" w:cs="LinTimes" w:hint="eastAsia"/>
          <w:color w:val="000000"/>
          <w:sz w:val="32"/>
          <w:szCs w:val="32"/>
        </w:rPr>
        <w:t>）</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r w:rsidRPr="005764CA">
        <w:rPr>
          <w:rFonts w:ascii="楷体_GB2312" w:eastAsia="楷体_GB2312" w:hAnsi="黑体" w:cs="LinTimes" w:hint="eastAsia"/>
          <w:color w:val="000000"/>
          <w:kern w:val="0"/>
          <w:sz w:val="32"/>
          <w:szCs w:val="32"/>
        </w:rPr>
        <w:t>第二十二条</w:t>
      </w:r>
      <w:r w:rsidRPr="005764CA">
        <w:rPr>
          <w:rFonts w:ascii="仿宋_GB2312" w:eastAsia="仿宋_GB2312" w:hAnsi="黑体" w:cs="LinTimes" w:hint="eastAsia"/>
          <w:color w:val="000000"/>
          <w:sz w:val="32"/>
          <w:szCs w:val="32"/>
        </w:rPr>
        <w:t xml:space="preserve"> </w:t>
      </w:r>
      <w:r w:rsidRPr="005764CA">
        <w:rPr>
          <w:rFonts w:ascii="仿宋_GB2312" w:eastAsia="仿宋_GB2312" w:hAnsi="仿宋" w:cs="LinTimes" w:hint="eastAsia"/>
          <w:color w:val="000000"/>
          <w:sz w:val="32"/>
          <w:szCs w:val="32"/>
        </w:rPr>
        <w:t>新建居住（小）区配建养老服务设施，必须在建设单位交付后1年内投入运营。民政部门应当将养老服务设施统一登记造册。鼓励采取“公建民营”等模式交由具有相应资质的专业化服务组织运营，根据老年人需求提供</w:t>
      </w:r>
      <w:proofErr w:type="gramStart"/>
      <w:r w:rsidRPr="005764CA">
        <w:rPr>
          <w:rFonts w:ascii="仿宋_GB2312" w:eastAsia="仿宋_GB2312" w:hAnsi="仿宋" w:cs="LinTimes" w:hint="eastAsia"/>
          <w:color w:val="000000"/>
          <w:sz w:val="32"/>
          <w:szCs w:val="32"/>
        </w:rPr>
        <w:t>老年助</w:t>
      </w:r>
      <w:proofErr w:type="gramEnd"/>
      <w:r w:rsidRPr="005764CA">
        <w:rPr>
          <w:rFonts w:ascii="仿宋_GB2312" w:eastAsia="仿宋_GB2312" w:hAnsi="仿宋" w:cs="LinTimes" w:hint="eastAsia"/>
          <w:color w:val="000000"/>
          <w:sz w:val="32"/>
          <w:szCs w:val="32"/>
        </w:rPr>
        <w:t>餐、日间照料、文体娱乐、健康教育、上门服务等普惠性养老服务。</w:t>
      </w:r>
      <w:r w:rsidRPr="005764CA">
        <w:rPr>
          <w:rFonts w:ascii="仿宋_GB2312" w:eastAsia="仿宋_GB2312" w:hAnsi="黑体" w:cs="LinTimes" w:hint="eastAsia"/>
          <w:color w:val="000000"/>
          <w:sz w:val="32"/>
          <w:szCs w:val="32"/>
        </w:rPr>
        <w:t>（民政部门负责）</w:t>
      </w:r>
    </w:p>
    <w:p w:rsidR="005764CA" w:rsidRPr="005764CA" w:rsidRDefault="005764CA" w:rsidP="005764CA">
      <w:pPr>
        <w:spacing w:line="576" w:lineRule="exact"/>
        <w:ind w:firstLineChars="200" w:firstLine="634"/>
        <w:rPr>
          <w:rFonts w:ascii="仿宋_GB2312" w:eastAsia="仿宋_GB2312" w:hAnsi="黑体" w:cs="LinTimes" w:hint="eastAsia"/>
          <w:color w:val="000000"/>
          <w:sz w:val="32"/>
          <w:szCs w:val="32"/>
        </w:rPr>
      </w:pPr>
    </w:p>
    <w:p w:rsidR="005764CA" w:rsidRPr="005764CA" w:rsidRDefault="005764CA" w:rsidP="00B46A6C">
      <w:pPr>
        <w:numPr>
          <w:ilvl w:val="0"/>
          <w:numId w:val="1"/>
        </w:numPr>
        <w:spacing w:line="576" w:lineRule="exact"/>
        <w:ind w:left="0" w:firstLineChars="200" w:firstLine="634"/>
        <w:jc w:val="center"/>
        <w:outlineLvl w:val="1"/>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监督检查</w:t>
      </w:r>
    </w:p>
    <w:p w:rsidR="005764CA" w:rsidRPr="005764CA" w:rsidRDefault="005764CA" w:rsidP="005764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200" w:firstLine="634"/>
        <w:jc w:val="left"/>
        <w:rPr>
          <w:rFonts w:ascii="仿宋_GB2312" w:eastAsia="仿宋_GB2312" w:hAnsi="仿宋" w:cs="LinTimes"/>
          <w:color w:val="000000"/>
          <w:kern w:val="0"/>
          <w:sz w:val="32"/>
          <w:szCs w:val="32"/>
        </w:rPr>
      </w:pPr>
      <w:r w:rsidRPr="005764CA">
        <w:rPr>
          <w:rFonts w:ascii="楷体_GB2312" w:eastAsia="楷体_GB2312" w:hAnsi="黑体" w:cs="LinTimes"/>
          <w:color w:val="000000"/>
          <w:kern w:val="0"/>
          <w:sz w:val="32"/>
          <w:szCs w:val="32"/>
        </w:rPr>
        <w:t xml:space="preserve">第二十三条 </w:t>
      </w:r>
      <w:r w:rsidRPr="005764CA">
        <w:rPr>
          <w:rFonts w:ascii="仿宋_GB2312" w:eastAsia="仿宋_GB2312" w:hAnsi="仿宋" w:cs="LinTimes"/>
          <w:color w:val="000000"/>
          <w:kern w:val="0"/>
          <w:sz w:val="32"/>
          <w:szCs w:val="32"/>
        </w:rPr>
        <w:t>各地要加强养老服务设施配套建设工作的组织领导，住房城乡建设、民政、自然资源、发展改革等部门要结合</w:t>
      </w:r>
      <w:r w:rsidRPr="005764CA">
        <w:rPr>
          <w:rFonts w:ascii="仿宋_GB2312" w:eastAsia="仿宋_GB2312" w:hAnsi="仿宋" w:cs="LinTimes"/>
          <w:color w:val="000000"/>
          <w:kern w:val="0"/>
          <w:sz w:val="32"/>
          <w:szCs w:val="32"/>
        </w:rPr>
        <w:lastRenderedPageBreak/>
        <w:t>本地实际，根据职责和分工，加强配合和协调，实现数据共享，及时监管查处不按规划配套、配套不达标、不履行交付配套设施约定等违法违规行为。</w:t>
      </w:r>
      <w:r w:rsidRPr="005764CA">
        <w:rPr>
          <w:rFonts w:ascii="仿宋_GB2312" w:eastAsia="仿宋_GB2312" w:hAnsi="黑体" w:cs="LinTimes"/>
          <w:color w:val="000000"/>
          <w:kern w:val="0"/>
          <w:sz w:val="32"/>
          <w:szCs w:val="32"/>
        </w:rPr>
        <w:t>（住房城乡建设、民政、自然资源、发展改革部门按职责分工负责）</w:t>
      </w:r>
    </w:p>
    <w:p w:rsidR="005764CA" w:rsidRPr="005764CA" w:rsidRDefault="005764CA" w:rsidP="005764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200" w:firstLine="634"/>
        <w:jc w:val="left"/>
        <w:rPr>
          <w:rFonts w:ascii="仿宋_GB2312" w:eastAsia="仿宋_GB2312" w:hAnsi="仿宋" w:cs="LinTimes"/>
          <w:color w:val="000000"/>
          <w:kern w:val="0"/>
          <w:sz w:val="32"/>
          <w:szCs w:val="32"/>
        </w:rPr>
      </w:pPr>
      <w:r w:rsidRPr="005764CA">
        <w:rPr>
          <w:rFonts w:ascii="楷体_GB2312" w:eastAsia="楷体_GB2312" w:hAnsi="黑体" w:cs="LinTimes"/>
          <w:color w:val="000000"/>
          <w:kern w:val="0"/>
          <w:sz w:val="32"/>
          <w:szCs w:val="32"/>
        </w:rPr>
        <w:t xml:space="preserve">第二十四条 </w:t>
      </w:r>
      <w:r w:rsidRPr="005764CA">
        <w:rPr>
          <w:rFonts w:ascii="仿宋_GB2312" w:eastAsia="仿宋_GB2312" w:hAnsi="仿宋" w:cs="LinTimes"/>
          <w:color w:val="000000"/>
          <w:kern w:val="0"/>
          <w:sz w:val="32"/>
          <w:szCs w:val="32"/>
        </w:rPr>
        <w:t>各地要定期组织对居住（小）区配套建设养老服务设施情况进行督导检查，检查情况要及时通报。将养老服务设施配建率纳入省政府养老服务业目标考核和省民生工程考核。</w:t>
      </w:r>
      <w:r w:rsidRPr="005764CA">
        <w:rPr>
          <w:rFonts w:ascii="仿宋_GB2312" w:eastAsia="仿宋_GB2312" w:hAnsi="黑体" w:cs="LinTimes"/>
          <w:color w:val="000000"/>
          <w:kern w:val="0"/>
          <w:sz w:val="32"/>
          <w:szCs w:val="32"/>
        </w:rPr>
        <w:t>（住房城乡建设、民政、自然资源、发展改革部门按职责分工负责）</w:t>
      </w:r>
    </w:p>
    <w:p w:rsidR="005764CA" w:rsidRPr="005764CA" w:rsidRDefault="005764CA" w:rsidP="005764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Chars="200" w:firstLine="634"/>
        <w:jc w:val="left"/>
        <w:rPr>
          <w:rFonts w:ascii="仿宋_GB2312" w:eastAsia="仿宋_GB2312" w:hAnsi="黑体" w:cs="LinTimes"/>
          <w:color w:val="000000"/>
          <w:kern w:val="0"/>
          <w:sz w:val="32"/>
          <w:szCs w:val="32"/>
        </w:rPr>
      </w:pPr>
    </w:p>
    <w:p w:rsidR="005764CA" w:rsidRPr="005764CA" w:rsidRDefault="005764CA" w:rsidP="005764CA">
      <w:pPr>
        <w:spacing w:line="576" w:lineRule="exact"/>
        <w:ind w:firstLineChars="200" w:firstLine="634"/>
        <w:jc w:val="center"/>
        <w:rPr>
          <w:rFonts w:ascii="仿宋_GB2312" w:eastAsia="仿宋_GB2312" w:hAnsi="方正黑体_GBK" w:cs="方正黑体_GBK" w:hint="eastAsia"/>
          <w:color w:val="000000"/>
          <w:sz w:val="32"/>
          <w:szCs w:val="32"/>
        </w:rPr>
      </w:pPr>
      <w:r w:rsidRPr="005764CA">
        <w:rPr>
          <w:rFonts w:ascii="仿宋_GB2312" w:eastAsia="仿宋_GB2312" w:hAnsi="方正黑体_GBK" w:cs="方正黑体_GBK" w:hint="eastAsia"/>
          <w:color w:val="000000"/>
          <w:sz w:val="32"/>
          <w:szCs w:val="32"/>
        </w:rPr>
        <w:t>第七章 附则</w:t>
      </w:r>
    </w:p>
    <w:p w:rsidR="005764CA" w:rsidRPr="005764CA" w:rsidRDefault="005764CA" w:rsidP="005764CA">
      <w:pPr>
        <w:spacing w:line="576" w:lineRule="exact"/>
        <w:ind w:firstLineChars="200" w:firstLine="634"/>
        <w:rPr>
          <w:rFonts w:ascii="仿宋_GB2312" w:eastAsia="仿宋_GB2312" w:hAnsi="Times New Roman" w:hint="eastAsia"/>
          <w:color w:val="000000"/>
          <w:sz w:val="32"/>
          <w:szCs w:val="32"/>
        </w:rPr>
      </w:pPr>
      <w:r w:rsidRPr="005764CA">
        <w:rPr>
          <w:rFonts w:ascii="楷体_GB2312" w:eastAsia="楷体_GB2312" w:hAnsi="黑体" w:cs="LinTimes" w:hint="eastAsia"/>
          <w:color w:val="000000"/>
          <w:kern w:val="0"/>
          <w:sz w:val="32"/>
          <w:szCs w:val="32"/>
        </w:rPr>
        <w:t>第二十五条</w:t>
      </w:r>
      <w:r w:rsidRPr="005764CA">
        <w:rPr>
          <w:rFonts w:ascii="仿宋_GB2312" w:eastAsia="仿宋_GB2312" w:hAnsi="仿宋" w:cs="LinTimes" w:hint="eastAsia"/>
          <w:color w:val="000000"/>
          <w:sz w:val="32"/>
          <w:szCs w:val="32"/>
        </w:rPr>
        <w:t xml:space="preserve"> 本实施细则自</w:t>
      </w:r>
      <w:r w:rsidRPr="005764CA">
        <w:rPr>
          <w:rFonts w:ascii="仿宋_GB2312" w:eastAsia="仿宋_GB2312" w:hAnsi="仿宋" w:cs="LinTimes" w:hint="eastAsia"/>
          <w:sz w:val="32"/>
          <w:szCs w:val="32"/>
        </w:rPr>
        <w:t>2022年7月20日</w:t>
      </w:r>
      <w:r w:rsidRPr="005764CA">
        <w:rPr>
          <w:rFonts w:ascii="仿宋_GB2312" w:eastAsia="仿宋_GB2312" w:hAnsi="仿宋" w:cs="LinTimes" w:hint="eastAsia"/>
          <w:color w:val="000000"/>
          <w:sz w:val="32"/>
          <w:szCs w:val="32"/>
        </w:rPr>
        <w:t>起实施。</w:t>
      </w: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5764CA" w:rsidRPr="005764CA" w:rsidRDefault="005764CA" w:rsidP="005764CA">
      <w:pPr>
        <w:spacing w:line="576" w:lineRule="exact"/>
        <w:ind w:firstLineChars="200" w:firstLine="634"/>
        <w:rPr>
          <w:rFonts w:ascii="仿宋_GB2312" w:eastAsia="仿宋_GB2312" w:hAnsi="Times New Roman" w:hint="eastAsia"/>
          <w:color w:val="FF0000"/>
          <w:sz w:val="32"/>
          <w:szCs w:val="32"/>
        </w:rPr>
      </w:pPr>
    </w:p>
    <w:p w:rsidR="00A07446" w:rsidRPr="005764CA" w:rsidRDefault="00A07446" w:rsidP="00583CF0"/>
    <w:sectPr w:rsidR="00A07446" w:rsidRPr="005764CA" w:rsidSect="005C0750">
      <w:footerReference w:type="even" r:id="rId7"/>
      <w:footerReference w:type="default" r:id="rId8"/>
      <w:pgSz w:w="11906" w:h="16838"/>
      <w:pgMar w:top="1701" w:right="1474" w:bottom="1474" w:left="1531" w:header="851" w:footer="992" w:gutter="0"/>
      <w:cols w:space="720"/>
      <w:docGrid w:type="linesAndChars" w:linePitch="621" w:charSpace="-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9B" w:rsidRDefault="00244C9B" w:rsidP="005E0AAE">
      <w:r>
        <w:separator/>
      </w:r>
    </w:p>
  </w:endnote>
  <w:endnote w:type="continuationSeparator" w:id="0">
    <w:p w:rsidR="00244C9B" w:rsidRDefault="00244C9B" w:rsidP="005E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inTimes">
    <w:altName w:val="DejaVu Sans"/>
    <w:charset w:val="00"/>
    <w:family w:val="auto"/>
    <w:pitch w:val="default"/>
    <w:sig w:usb0="00000000" w:usb1="00000000" w:usb2="00000008"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8000000" w:usb2="00000000" w:usb3="00000000" w:csb0="00040000" w:csb1="00000000"/>
  </w:font>
  <w:font w:name="楷体_GB2312">
    <w:altName w:val="Arial Unicode MS"/>
    <w:charset w:val="00"/>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Heiti">
    <w:altName w:val="汉仪新人文宋简"/>
    <w:charset w:val="00"/>
    <w:family w:val="auto"/>
    <w:pitch w:val="default"/>
    <w:sig w:usb0="00000000" w:usb1="00000000" w:usb2="00000000" w:usb3="00000000" w:csb0="00040001" w:csb1="00000000"/>
  </w:font>
  <w:font w:name="CESI仿宋-GB2312">
    <w:charset w:val="86"/>
    <w:family w:val="auto"/>
    <w:pitch w:val="default"/>
    <w:sig w:usb0="800002AF" w:usb1="084F6CF8" w:usb2="00000010" w:usb3="00000000" w:csb0="0004000F" w:csb1="00000000"/>
  </w:font>
  <w:font w:name="方正仿宋_GBK">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50" w:rsidRDefault="003F5A1F">
    <w:pPr>
      <w:pStyle w:val="a4"/>
      <w:rPr>
        <w:sz w:val="28"/>
      </w:rPr>
    </w:pPr>
    <w:r>
      <w:rPr>
        <w:kern w:val="0"/>
        <w:sz w:val="28"/>
        <w:szCs w:val="21"/>
      </w:rPr>
      <w:t xml:space="preserve">- </w:t>
    </w:r>
    <w:r w:rsidR="00B56BD4">
      <w:rPr>
        <w:kern w:val="0"/>
        <w:sz w:val="28"/>
        <w:szCs w:val="21"/>
      </w:rPr>
      <w:fldChar w:fldCharType="begin"/>
    </w:r>
    <w:r>
      <w:rPr>
        <w:kern w:val="0"/>
        <w:sz w:val="28"/>
        <w:szCs w:val="21"/>
      </w:rPr>
      <w:instrText xml:space="preserve"> PAGE </w:instrText>
    </w:r>
    <w:r w:rsidR="00B56BD4">
      <w:rPr>
        <w:kern w:val="0"/>
        <w:sz w:val="28"/>
        <w:szCs w:val="21"/>
      </w:rPr>
      <w:fldChar w:fldCharType="separate"/>
    </w:r>
    <w:r>
      <w:rPr>
        <w:noProof/>
        <w:kern w:val="0"/>
        <w:sz w:val="28"/>
        <w:szCs w:val="21"/>
      </w:rPr>
      <w:t>2</w:t>
    </w:r>
    <w:r w:rsidR="00B56BD4">
      <w:rPr>
        <w:kern w:val="0"/>
        <w:sz w:val="28"/>
        <w:szCs w:val="21"/>
      </w:rPr>
      <w:fldChar w:fldCharType="end"/>
    </w:r>
    <w:r>
      <w:rPr>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50" w:rsidRDefault="003F5A1F">
    <w:pPr>
      <w:pStyle w:val="a4"/>
      <w:jc w:val="right"/>
      <w:rPr>
        <w:sz w:val="28"/>
      </w:rPr>
    </w:pPr>
    <w:r>
      <w:rPr>
        <w:kern w:val="0"/>
        <w:sz w:val="28"/>
        <w:szCs w:val="21"/>
      </w:rPr>
      <w:t xml:space="preserve">- </w:t>
    </w:r>
    <w:r w:rsidR="00B56BD4">
      <w:rPr>
        <w:kern w:val="0"/>
        <w:sz w:val="28"/>
        <w:szCs w:val="21"/>
      </w:rPr>
      <w:fldChar w:fldCharType="begin"/>
    </w:r>
    <w:r>
      <w:rPr>
        <w:kern w:val="0"/>
        <w:sz w:val="28"/>
        <w:szCs w:val="21"/>
      </w:rPr>
      <w:instrText xml:space="preserve"> PAGE </w:instrText>
    </w:r>
    <w:r w:rsidR="00B56BD4">
      <w:rPr>
        <w:kern w:val="0"/>
        <w:sz w:val="28"/>
        <w:szCs w:val="21"/>
      </w:rPr>
      <w:fldChar w:fldCharType="separate"/>
    </w:r>
    <w:r w:rsidR="00B46A6C">
      <w:rPr>
        <w:noProof/>
        <w:kern w:val="0"/>
        <w:sz w:val="28"/>
        <w:szCs w:val="21"/>
      </w:rPr>
      <w:t>1</w:t>
    </w:r>
    <w:r w:rsidR="00B56BD4">
      <w:rPr>
        <w:kern w:val="0"/>
        <w:sz w:val="28"/>
        <w:szCs w:val="21"/>
      </w:rPr>
      <w:fldChar w:fldCharType="end"/>
    </w:r>
    <w:r>
      <w:rPr>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9B" w:rsidRDefault="00244C9B" w:rsidP="005E0AAE">
      <w:r>
        <w:separator/>
      </w:r>
    </w:p>
  </w:footnote>
  <w:footnote w:type="continuationSeparator" w:id="0">
    <w:p w:rsidR="00244C9B" w:rsidRDefault="00244C9B" w:rsidP="005E0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31341"/>
    <w:multiLevelType w:val="multilevel"/>
    <w:tmpl w:val="53831341"/>
    <w:lvl w:ilvl="0">
      <w:start w:val="1"/>
      <w:numFmt w:val="japaneseCounting"/>
      <w:lvlText w:val="第%1章"/>
      <w:lvlJc w:val="left"/>
      <w:pPr>
        <w:ind w:left="1280" w:hanging="12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AAE"/>
    <w:rsid w:val="00035246"/>
    <w:rsid w:val="000C7C30"/>
    <w:rsid w:val="0012414E"/>
    <w:rsid w:val="00202DB7"/>
    <w:rsid w:val="00244C9B"/>
    <w:rsid w:val="00317A8E"/>
    <w:rsid w:val="00370534"/>
    <w:rsid w:val="003F5A1F"/>
    <w:rsid w:val="004774FC"/>
    <w:rsid w:val="0049144A"/>
    <w:rsid w:val="00513347"/>
    <w:rsid w:val="00526C16"/>
    <w:rsid w:val="005764CA"/>
    <w:rsid w:val="00583CF0"/>
    <w:rsid w:val="005C0750"/>
    <w:rsid w:val="005E0AAE"/>
    <w:rsid w:val="006B0BAE"/>
    <w:rsid w:val="00826C47"/>
    <w:rsid w:val="00877EF6"/>
    <w:rsid w:val="008B1EF4"/>
    <w:rsid w:val="008B5327"/>
    <w:rsid w:val="008F5B94"/>
    <w:rsid w:val="00972CDC"/>
    <w:rsid w:val="009C7D22"/>
    <w:rsid w:val="00A07446"/>
    <w:rsid w:val="00A446CC"/>
    <w:rsid w:val="00A772F4"/>
    <w:rsid w:val="00B46A6C"/>
    <w:rsid w:val="00B56BD4"/>
    <w:rsid w:val="00CE161B"/>
    <w:rsid w:val="00D26A87"/>
    <w:rsid w:val="00DA1595"/>
    <w:rsid w:val="00EA46EE"/>
    <w:rsid w:val="00EC5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0AAE"/>
    <w:rPr>
      <w:sz w:val="18"/>
      <w:szCs w:val="18"/>
    </w:rPr>
  </w:style>
  <w:style w:type="paragraph" w:styleId="a4">
    <w:name w:val="footer"/>
    <w:basedOn w:val="a"/>
    <w:link w:val="Char0"/>
    <w:uiPriority w:val="99"/>
    <w:semiHidden/>
    <w:unhideWhenUsed/>
    <w:rsid w:val="005E0A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0AAE"/>
    <w:rPr>
      <w:sz w:val="18"/>
      <w:szCs w:val="18"/>
    </w:rPr>
  </w:style>
  <w:style w:type="paragraph" w:styleId="a5">
    <w:name w:val="Balloon Text"/>
    <w:basedOn w:val="a"/>
    <w:link w:val="Char1"/>
    <w:uiPriority w:val="99"/>
    <w:semiHidden/>
    <w:unhideWhenUsed/>
    <w:rsid w:val="008B5327"/>
    <w:rPr>
      <w:sz w:val="18"/>
      <w:szCs w:val="18"/>
    </w:rPr>
  </w:style>
  <w:style w:type="character" w:customStyle="1" w:styleId="Char1">
    <w:name w:val="批注框文本 Char"/>
    <w:basedOn w:val="a0"/>
    <w:link w:val="a5"/>
    <w:uiPriority w:val="99"/>
    <w:semiHidden/>
    <w:rsid w:val="008B5327"/>
    <w:rPr>
      <w:rFonts w:ascii="Calibri" w:eastAsia="宋体" w:hAnsi="Calibri" w:cs="Times New Roman"/>
      <w:sz w:val="18"/>
      <w:szCs w:val="18"/>
    </w:rPr>
  </w:style>
  <w:style w:type="paragraph" w:styleId="2">
    <w:name w:val="Body Text Indent 2"/>
    <w:basedOn w:val="a"/>
    <w:link w:val="2Char"/>
    <w:rsid w:val="00972CDC"/>
    <w:pPr>
      <w:ind w:firstLineChars="200" w:firstLine="640"/>
    </w:pPr>
    <w:rPr>
      <w:sz w:val="32"/>
    </w:rPr>
  </w:style>
  <w:style w:type="character" w:customStyle="1" w:styleId="2Char">
    <w:name w:val="正文文本缩进 2 Char"/>
    <w:basedOn w:val="a0"/>
    <w:link w:val="2"/>
    <w:rsid w:val="00972CDC"/>
    <w:rPr>
      <w:rFonts w:ascii="Calibri" w:eastAsia="宋体" w:hAnsi="Calibri" w:cs="Times New Roman"/>
      <w:sz w:val="32"/>
      <w:szCs w:val="24"/>
    </w:rPr>
  </w:style>
  <w:style w:type="paragraph" w:styleId="a6">
    <w:name w:val="Normal (Web)"/>
    <w:basedOn w:val="a"/>
    <w:uiPriority w:val="99"/>
    <w:unhideWhenUsed/>
    <w:rsid w:val="006B0BAE"/>
    <w:pPr>
      <w:widowControl/>
      <w:spacing w:before="100" w:beforeAutospacing="1" w:after="100" w:afterAutospacing="1"/>
      <w:jc w:val="left"/>
    </w:pPr>
    <w:rPr>
      <w:rFonts w:ascii="宋体" w:hAnsi="宋体" w:cs="宋体"/>
      <w:kern w:val="0"/>
      <w:sz w:val="24"/>
    </w:rPr>
  </w:style>
  <w:style w:type="character" w:customStyle="1" w:styleId="bjh-p">
    <w:name w:val="bjh-p"/>
    <w:rsid w:val="006B0BAE"/>
  </w:style>
  <w:style w:type="character" w:customStyle="1" w:styleId="bjh-strong">
    <w:name w:val="bjh-strong"/>
    <w:rsid w:val="006B0BAE"/>
  </w:style>
</w:styles>
</file>

<file path=word/webSettings.xml><?xml version="1.0" encoding="utf-8"?>
<w:webSettings xmlns:r="http://schemas.openxmlformats.org/officeDocument/2006/relationships" xmlns:w="http://schemas.openxmlformats.org/wordprocessingml/2006/main">
  <w:divs>
    <w:div w:id="1199316113">
      <w:bodyDiv w:val="1"/>
      <w:marLeft w:val="0"/>
      <w:marRight w:val="0"/>
      <w:marTop w:val="0"/>
      <w:marBottom w:val="0"/>
      <w:divBdr>
        <w:top w:val="none" w:sz="0" w:space="0" w:color="auto"/>
        <w:left w:val="none" w:sz="0" w:space="0" w:color="auto"/>
        <w:bottom w:val="none" w:sz="0" w:space="0" w:color="auto"/>
        <w:right w:val="none" w:sz="0" w:space="0" w:color="auto"/>
      </w:divBdr>
      <w:divsChild>
        <w:div w:id="1694570443">
          <w:marLeft w:val="0"/>
          <w:marRight w:val="0"/>
          <w:marTop w:val="0"/>
          <w:marBottom w:val="0"/>
          <w:divBdr>
            <w:top w:val="none" w:sz="0" w:space="0" w:color="auto"/>
            <w:left w:val="none" w:sz="0" w:space="0" w:color="auto"/>
            <w:bottom w:val="none" w:sz="0" w:space="0" w:color="auto"/>
            <w:right w:val="none" w:sz="0" w:space="0" w:color="auto"/>
          </w:divBdr>
          <w:divsChild>
            <w:div w:id="640960229">
              <w:marLeft w:val="0"/>
              <w:marRight w:val="0"/>
              <w:marTop w:val="0"/>
              <w:marBottom w:val="0"/>
              <w:divBdr>
                <w:top w:val="none" w:sz="0" w:space="0" w:color="auto"/>
                <w:left w:val="none" w:sz="0" w:space="0" w:color="auto"/>
                <w:bottom w:val="none" w:sz="0" w:space="0" w:color="auto"/>
                <w:right w:val="none" w:sz="0" w:space="0" w:color="auto"/>
              </w:divBdr>
              <w:divsChild>
                <w:div w:id="2037076839">
                  <w:marLeft w:val="0"/>
                  <w:marRight w:val="0"/>
                  <w:marTop w:val="0"/>
                  <w:marBottom w:val="0"/>
                  <w:divBdr>
                    <w:top w:val="none" w:sz="0" w:space="0" w:color="auto"/>
                    <w:left w:val="none" w:sz="0" w:space="0" w:color="auto"/>
                    <w:bottom w:val="none" w:sz="0" w:space="0" w:color="auto"/>
                    <w:right w:val="none" w:sz="0" w:space="0" w:color="auto"/>
                  </w:divBdr>
                  <w:divsChild>
                    <w:div w:id="223489851">
                      <w:marLeft w:val="0"/>
                      <w:marRight w:val="0"/>
                      <w:marTop w:val="0"/>
                      <w:marBottom w:val="0"/>
                      <w:divBdr>
                        <w:top w:val="none" w:sz="0" w:space="0" w:color="auto"/>
                        <w:left w:val="none" w:sz="0" w:space="0" w:color="auto"/>
                        <w:bottom w:val="none" w:sz="0" w:space="0" w:color="auto"/>
                        <w:right w:val="none" w:sz="0" w:space="0" w:color="auto"/>
                      </w:divBdr>
                      <w:divsChild>
                        <w:div w:id="1407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84405">
      <w:bodyDiv w:val="1"/>
      <w:marLeft w:val="0"/>
      <w:marRight w:val="0"/>
      <w:marTop w:val="0"/>
      <w:marBottom w:val="0"/>
      <w:divBdr>
        <w:top w:val="none" w:sz="0" w:space="0" w:color="auto"/>
        <w:left w:val="none" w:sz="0" w:space="0" w:color="auto"/>
        <w:bottom w:val="none" w:sz="0" w:space="0" w:color="auto"/>
        <w:right w:val="none" w:sz="0" w:space="0" w:color="auto"/>
      </w:divBdr>
      <w:divsChild>
        <w:div w:id="1696153403">
          <w:marLeft w:val="0"/>
          <w:marRight w:val="0"/>
          <w:marTop w:val="0"/>
          <w:marBottom w:val="0"/>
          <w:divBdr>
            <w:top w:val="none" w:sz="0" w:space="0" w:color="auto"/>
            <w:left w:val="none" w:sz="0" w:space="0" w:color="auto"/>
            <w:bottom w:val="none" w:sz="0" w:space="0" w:color="auto"/>
            <w:right w:val="none" w:sz="0" w:space="0" w:color="auto"/>
          </w:divBdr>
          <w:divsChild>
            <w:div w:id="1145204036">
              <w:marLeft w:val="0"/>
              <w:marRight w:val="0"/>
              <w:marTop w:val="0"/>
              <w:marBottom w:val="0"/>
              <w:divBdr>
                <w:top w:val="none" w:sz="0" w:space="0" w:color="auto"/>
                <w:left w:val="none" w:sz="0" w:space="0" w:color="auto"/>
                <w:bottom w:val="none" w:sz="0" w:space="0" w:color="auto"/>
                <w:right w:val="none" w:sz="0" w:space="0" w:color="auto"/>
              </w:divBdr>
              <w:divsChild>
                <w:div w:id="1670210021">
                  <w:marLeft w:val="0"/>
                  <w:marRight w:val="0"/>
                  <w:marTop w:val="0"/>
                  <w:marBottom w:val="0"/>
                  <w:divBdr>
                    <w:top w:val="none" w:sz="0" w:space="0" w:color="auto"/>
                    <w:left w:val="none" w:sz="0" w:space="0" w:color="auto"/>
                    <w:bottom w:val="none" w:sz="0" w:space="0" w:color="auto"/>
                    <w:right w:val="none" w:sz="0" w:space="0" w:color="auto"/>
                  </w:divBdr>
                  <w:divsChild>
                    <w:div w:id="864557254">
                      <w:marLeft w:val="0"/>
                      <w:marRight w:val="0"/>
                      <w:marTop w:val="0"/>
                      <w:marBottom w:val="0"/>
                      <w:divBdr>
                        <w:top w:val="none" w:sz="0" w:space="0" w:color="auto"/>
                        <w:left w:val="none" w:sz="0" w:space="0" w:color="auto"/>
                        <w:bottom w:val="none" w:sz="0" w:space="0" w:color="auto"/>
                        <w:right w:val="none" w:sz="0" w:space="0" w:color="auto"/>
                      </w:divBdr>
                      <w:divsChild>
                        <w:div w:id="18392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1363</Words>
  <Characters>2140</Characters>
  <Application>Microsoft Office Word</Application>
  <DocSecurity>0</DocSecurity>
  <Lines>194</Lines>
  <Paragraphs>291</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项皓</cp:lastModifiedBy>
  <cp:revision>2</cp:revision>
  <dcterms:created xsi:type="dcterms:W3CDTF">2022-06-24T04:44:00Z</dcterms:created>
  <dcterms:modified xsi:type="dcterms:W3CDTF">2022-06-24T04:44:00Z</dcterms:modified>
</cp:coreProperties>
</file>